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EC87" w14:textId="40CAB218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B1CC9B1" w14:textId="77777777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КАЗАТКУЛЬСКОГО СЕЛЬСОВЕТА</w:t>
      </w:r>
    </w:p>
    <w:p w14:paraId="6A724C30" w14:textId="35EA70DA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14:paraId="3DE1B2D1" w14:textId="77777777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695CC8D" w14:textId="77777777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501C9" w14:textId="77777777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B23737" w14:textId="77777777" w:rsidR="000B7C30" w:rsidRPr="000B7C30" w:rsidRDefault="000B7C30" w:rsidP="00054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FCFF7D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C30">
        <w:rPr>
          <w:rFonts w:ascii="Times New Roman" w:hAnsi="Times New Roman" w:cs="Times New Roman"/>
          <w:sz w:val="28"/>
          <w:szCs w:val="28"/>
        </w:rPr>
        <w:t>с. Казаткуль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F6A43D1" w14:textId="0EE9F8F3" w:rsidR="002B3A9B" w:rsidRDefault="00054B77" w:rsidP="0084071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01.11.2023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64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F946518" w14:textId="7761C42E" w:rsidR="000D123E" w:rsidRPr="00F72F43" w:rsidRDefault="002B3A9B" w:rsidP="00F72F4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6391C" w:rsidRPr="00F72F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</w:t>
      </w:r>
      <w:r w:rsidR="003D3BB2" w:rsidRPr="003D3BB2">
        <w:rPr>
          <w:rFonts w:ascii="Times New Roman" w:hAnsi="Times New Roman" w:cs="Times New Roman"/>
          <w:b/>
          <w:sz w:val="24"/>
          <w:szCs w:val="24"/>
        </w:rPr>
        <w:t>области охраны и использования особо охраняемых природных территорий</w:t>
      </w:r>
      <w:r w:rsidR="003D3BB2" w:rsidRPr="00F72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>Казаткульского сельсовета Татарского района Новосибирской области на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153F0"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14:paraId="1AF70F8E" w14:textId="6CE0DA0D" w:rsidR="000D123E" w:rsidRPr="00CE6EC1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C7927" w14:textId="467E5473" w:rsidR="000D123E" w:rsidRPr="00CE6EC1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44</w:t>
      </w:r>
      <w:r w:rsidR="00CE6EC1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частью 13 статьи 52 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31.07.2020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E6EC1" w:rsidRPr="00CE6EC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CE6EC1" w:rsidRPr="00CE6EC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</w:p>
    <w:p w14:paraId="46609A58" w14:textId="34832C99" w:rsidR="000D123E" w:rsidRPr="00CE6EC1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CE6EC1" w:rsidRDefault="000D123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63FEC" w14:textId="7CB011B7" w:rsidR="000D123E" w:rsidRDefault="00927500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3D3BB2" w:rsidRPr="000C7111">
        <w:rPr>
          <w:rFonts w:ascii="Times New Roman" w:hAnsi="Times New Roman" w:cs="Times New Roman"/>
          <w:sz w:val="28"/>
          <w:szCs w:val="28"/>
        </w:rPr>
        <w:t xml:space="preserve"> </w:t>
      </w:r>
      <w:r w:rsidR="00840712" w:rsidRPr="00840712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="00840712">
        <w:rPr>
          <w:rFonts w:ascii="Times New Roman" w:hAnsi="Times New Roman" w:cs="Times New Roman"/>
          <w:sz w:val="24"/>
          <w:szCs w:val="24"/>
        </w:rPr>
        <w:t xml:space="preserve"> </w:t>
      </w:r>
      <w:r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0153F0"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14:paraId="491D9D7B" w14:textId="77777777" w:rsidR="00CE6EC1" w:rsidRPr="00CE6EC1" w:rsidRDefault="00CE6EC1" w:rsidP="00CE6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E6E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«Казаткульский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14:paraId="49CF1C60" w14:textId="6CC99673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0213ED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05EFA" w14:textId="16BBA8FA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792778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15239EFA" w14:textId="77777777" w:rsidR="00840712" w:rsidRDefault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65CA9" w14:textId="4CD4A751" w:rsidR="00CE6EC1" w:rsidRPr="00CE6EC1" w:rsidRDefault="009275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Казаткульского сельсовета </w:t>
      </w:r>
    </w:p>
    <w:p w14:paraId="2D9284D1" w14:textId="384E2B54" w:rsidR="000D123E" w:rsidRPr="00CE6EC1" w:rsidRDefault="00CE6EC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  В.Ф. Макаренко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9D1053" w14:textId="03F7C61A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EEBABC2" w14:textId="77777777" w:rsidR="003D3BB2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p w14:paraId="05C497BD" w14:textId="77777777" w:rsidR="003D3BB2" w:rsidRDefault="003D3BB2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311DCA5" w14:textId="77777777" w:rsidR="00054B77" w:rsidRDefault="00D24625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5F2C5E7" w14:textId="77777777" w:rsidR="00054B77" w:rsidRDefault="00054B77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1F4A718C" w:rsidR="000D123E" w:rsidRDefault="00D24625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Приложение</w:t>
      </w:r>
    </w:p>
    <w:p w14:paraId="38548DCD" w14:textId="77777777"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1D0C3024" w:rsidR="000D123E" w:rsidRDefault="00CE6EC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Казаткульского сельсовета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54B77">
        <w:rPr>
          <w:rFonts w:ascii="Times New Roman" w:eastAsia="Times New Roman" w:hAnsi="Times New Roman" w:cs="Times New Roman"/>
          <w:color w:val="000000"/>
          <w:sz w:val="24"/>
        </w:rPr>
        <w:t>01.11.2023 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54B77">
        <w:rPr>
          <w:rFonts w:ascii="Times New Roman" w:eastAsia="Times New Roman" w:hAnsi="Times New Roman" w:cs="Times New Roman"/>
          <w:color w:val="000000"/>
          <w:sz w:val="24"/>
        </w:rPr>
        <w:t>64</w:t>
      </w:r>
      <w:bookmarkStart w:id="0" w:name="_GoBack"/>
      <w:bookmarkEnd w:id="0"/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0B9DBE78" w:rsidR="000D123E" w:rsidRPr="00840712" w:rsidRDefault="00927500" w:rsidP="00840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территорий</w:t>
      </w:r>
      <w:r w:rsidR="003D3BB2" w:rsidRPr="000C7111">
        <w:rPr>
          <w:rFonts w:ascii="Times New Roman" w:hAnsi="Times New Roman" w:cs="Times New Roman"/>
          <w:sz w:val="28"/>
          <w:szCs w:val="28"/>
        </w:rPr>
        <w:t xml:space="preserve"> </w:t>
      </w:r>
      <w:r w:rsidR="00840712" w:rsidRPr="00840712">
        <w:rPr>
          <w:rFonts w:ascii="Times New Roman" w:hAnsi="Times New Roman" w:cs="Times New Roman"/>
          <w:b/>
          <w:sz w:val="24"/>
          <w:szCs w:val="24"/>
        </w:rPr>
        <w:t xml:space="preserve">Казаткульского </w:t>
      </w:r>
      <w:r w:rsidR="003D3BB2" w:rsidRPr="00840712">
        <w:rPr>
          <w:rFonts w:ascii="Times New Roman" w:hAnsi="Times New Roman" w:cs="Times New Roman"/>
          <w:b/>
          <w:sz w:val="24"/>
          <w:szCs w:val="24"/>
        </w:rPr>
        <w:t>сельсовета Татарского</w:t>
      </w:r>
      <w:r w:rsidR="00840712" w:rsidRPr="0084071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="00CE6EC1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8962FE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8166D7"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Pr="000B3D31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52B55C" w14:textId="479E0A5E" w:rsidR="000B3D31" w:rsidRDefault="00927500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0B3D31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3D3BB2" w:rsidRPr="003D3BB2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Казаткульского сельсовета  Татарского района Новосибирской области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548CC69" w14:textId="3DA0C268" w:rsidR="000B3D31" w:rsidRDefault="00592F8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CE6EC1" w:rsidRPr="000B3D3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3E6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Казаткульского сельсовета  Татарского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 w:rsidRPr="000B3D31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 w:rsidRPr="000B3D3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      </w:t>
      </w:r>
    </w:p>
    <w:p w14:paraId="3D8090DE" w14:textId="5B4EEE31" w:rsidR="000B3D31" w:rsidRDefault="001F58E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Казаткульского сельсовета Татарского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2F40F672" w14:textId="6EECDBB3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2023 года</w:t>
      </w:r>
      <w:r w:rsidR="006D438D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от </w:t>
      </w:r>
      <w:r w:rsidR="00D1253F" w:rsidRPr="000B3D31">
        <w:rPr>
          <w:rFonts w:ascii="Times New Roman" w:eastAsia="Times New Roman" w:hAnsi="Times New Roman" w:cs="Times New Roman"/>
          <w:color w:val="000000"/>
          <w:sz w:val="24"/>
        </w:rPr>
        <w:t>15.12.2023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D1253F" w:rsidRPr="000B3D31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3D3BB2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3C2EBC3" w14:textId="3150B91D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67DB4312" w14:textId="77777777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1A90252" w14:textId="53DDA915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</w:t>
      </w:r>
      <w:r w:rsidRPr="000B3D31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6391C">
        <w:rPr>
          <w:rFonts w:ascii="Times New Roman" w:hAnsi="Times New Roman" w:cs="Times New Roman"/>
          <w:sz w:val="24"/>
          <w:szCs w:val="24"/>
        </w:rPr>
        <w:t>лях недопущения таких нарушений.</w:t>
      </w:r>
    </w:p>
    <w:p w14:paraId="254585E1" w14:textId="6454477B" w:rsidR="00D1253F" w:rsidRPr="000B3D31" w:rsidRDefault="00D1253F" w:rsidP="000B3D3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За 9 месяцев 2023 года администрацией не выдавались предостережения о недопустимости нарушения обязательных требований</w:t>
      </w:r>
      <w:r w:rsidR="00686EF1">
        <w:rPr>
          <w:rFonts w:ascii="Times New Roman" w:hAnsi="Times New Roman" w:cs="Times New Roman"/>
          <w:sz w:val="24"/>
          <w:szCs w:val="24"/>
        </w:rPr>
        <w:t>.</w:t>
      </w:r>
    </w:p>
    <w:p w14:paraId="501B6BF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470AB867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1512C0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2213A007" w:rsidR="009D0D81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0F8A2690" w14:textId="585490CF" w:rsidR="006D438D" w:rsidRDefault="0023333A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Pr="002333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F443637" w14:textId="77777777" w:rsidR="0023333A" w:rsidRDefault="0023333A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7F18BB70" w:rsidR="00FC1723" w:rsidRPr="00D50370" w:rsidRDefault="000B3D31" w:rsidP="000B3D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925"/>
        <w:gridCol w:w="2364"/>
        <w:gridCol w:w="3417"/>
      </w:tblGrid>
      <w:tr w:rsidR="000D123E" w14:paraId="38550A3D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2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возможность размещения исчерпывающего перечня сведений, которые могут запрашиваться контрольным (надзорным) органом у контролируемого лица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184109B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08C3CF85" w14:textId="77777777" w:rsidTr="00F120B1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56D612A3" w:rsidR="000D123E" w:rsidRDefault="00F120B1">
            <w:pPr>
              <w:spacing w:after="0"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2750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3B48B52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56BC84D5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288A4BDD" w:rsidR="000D123E" w:rsidRDefault="00F120B1">
            <w:pPr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6A2868B4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</w:t>
            </w:r>
            <w:r w:rsidR="005A4A02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14:paraId="75F44F2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4637EA6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3DB0DD37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2B69D345" w:rsidR="000D123E" w:rsidRDefault="00F120B1">
            <w:pPr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75ECFD3" w14:textId="685558EE" w:rsidR="000D123E" w:rsidRDefault="00927500" w:rsidP="005C2D7B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7E0D4" w14:textId="03A97D37" w:rsidR="00213E66" w:rsidRPr="000B3D31" w:rsidRDefault="00213E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-по </w:t>
            </w:r>
            <w:r w:rsidR="000B3D31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решениям администрации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принимаемым по 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результатам рассмотрения заявлени</w:t>
            </w:r>
            <w:r w:rsidR="001B0C35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й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контролируемых </w:t>
            </w: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лиц </w:t>
            </w:r>
            <w:r w:rsidR="00F201D8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 проведении в отношении них профилактического визита  </w:t>
            </w:r>
          </w:p>
          <w:p w14:paraId="1EDDC92B" w14:textId="77777777" w:rsidR="000D123E" w:rsidRPr="000B3D31" w:rsidRDefault="000D123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2816D1A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481"/>
        <w:gridCol w:w="223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0B3D31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0B3D31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43BEA48D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0B3D31" w:rsidRDefault="00927500" w:rsidP="000B3D3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Pr="000B3D31" w:rsidRDefault="00927500" w:rsidP="000B3D31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4C1619E0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0B3D31" w:rsidRDefault="00927500" w:rsidP="000B3D31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0B3D31" w:rsidRDefault="00927500" w:rsidP="005A4A02">
            <w:pPr>
              <w:spacing w:before="101" w:after="0" w:line="240" w:lineRule="auto"/>
              <w:ind w:left="135" w:right="47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12523EC9" w:rsidR="000D123E" w:rsidRPr="000B3D31" w:rsidRDefault="005A4A02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0B3D31" w:rsidRDefault="00927500" w:rsidP="000B3D31">
            <w:pPr>
              <w:spacing w:before="106" w:after="0" w:line="240" w:lineRule="auto"/>
              <w:ind w:left="46" w:right="13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0B3D31" w:rsidRDefault="00927500" w:rsidP="005A4A02">
            <w:pPr>
              <w:spacing w:before="106" w:after="0" w:line="240" w:lineRule="auto"/>
              <w:ind w:left="135" w:right="16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A6C97A" w14:textId="77777777" w:rsidR="000B3D31" w:rsidRDefault="000B3D31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  <w:sectPr w:rsidR="000B3D31" w:rsidSect="0084071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56568A9" w14:textId="5C5F4A00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6E6CD5FC" w14:textId="77777777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605A2665" w14:textId="77777777" w:rsidR="00BA0302" w:rsidRPr="00DC3872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</w:pPr>
    </w:p>
    <w:p w14:paraId="7D7FE8A6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p w14:paraId="2F0D2117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0B3D31" w14:paraId="5A5BAD19" w14:textId="77777777" w:rsidTr="00BE52CD">
        <w:tc>
          <w:tcPr>
            <w:tcW w:w="419" w:type="dxa"/>
            <w:vMerge w:val="restart"/>
            <w:vAlign w:val="center"/>
          </w:tcPr>
          <w:p w14:paraId="4A46D54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14:paraId="1A7128A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14:paraId="0231BEC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14:paraId="496FA00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0B3D31" w14:paraId="6A68AD00" w14:textId="77777777" w:rsidTr="00BE52CD">
        <w:tc>
          <w:tcPr>
            <w:tcW w:w="419" w:type="dxa"/>
            <w:vMerge/>
          </w:tcPr>
          <w:p w14:paraId="0A0C868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D91B8D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14:paraId="7A6CFB1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14:paraId="41E9FCF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14:paraId="489A9EE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14:paraId="6ECF7BA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14:paraId="28C6BCA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  <w:p w14:paraId="6B406BE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14:paraId="21781B7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14:paraId="17C36873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14:paraId="3E8AB5A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0B3D31" w14:paraId="5CB22715" w14:textId="77777777" w:rsidTr="00BE52CD">
        <w:tc>
          <w:tcPr>
            <w:tcW w:w="419" w:type="dxa"/>
          </w:tcPr>
          <w:p w14:paraId="4CC1BC34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14:paraId="3F5E039D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14BD670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4125DB2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14:paraId="6454FA5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14:paraId="2B15155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62E1028C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14:paraId="6D2BA16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DDCDA5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B3D31" w14:paraId="6AD2072C" w14:textId="77777777" w:rsidTr="00BE52CD">
        <w:tc>
          <w:tcPr>
            <w:tcW w:w="419" w:type="dxa"/>
          </w:tcPr>
          <w:p w14:paraId="39922FCA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8402616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01DB55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480E57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5AFDD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C9F474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B3F8E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61A6C9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48758B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</w:tr>
    </w:tbl>
    <w:p w14:paraId="6DE40BC8" w14:textId="7654EBA8" w:rsidR="000B3D31" w:rsidRDefault="000B3D31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0B3D31" w:rsidSect="000B3D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A15B89" w14:textId="77777777" w:rsidR="000D123E" w:rsidRDefault="000D123E" w:rsidP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75223DE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153F0"/>
    <w:rsid w:val="000213ED"/>
    <w:rsid w:val="00022818"/>
    <w:rsid w:val="00054435"/>
    <w:rsid w:val="00054B77"/>
    <w:rsid w:val="00067ADC"/>
    <w:rsid w:val="000A5FFB"/>
    <w:rsid w:val="000B3D31"/>
    <w:rsid w:val="000B7C30"/>
    <w:rsid w:val="000D123E"/>
    <w:rsid w:val="0010019C"/>
    <w:rsid w:val="00184AFB"/>
    <w:rsid w:val="00191534"/>
    <w:rsid w:val="001B0C35"/>
    <w:rsid w:val="001B6B47"/>
    <w:rsid w:val="001D67C6"/>
    <w:rsid w:val="001E0313"/>
    <w:rsid w:val="001F58E6"/>
    <w:rsid w:val="00213E66"/>
    <w:rsid w:val="0023333A"/>
    <w:rsid w:val="00267D18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D3BB2"/>
    <w:rsid w:val="003E40A4"/>
    <w:rsid w:val="00431E6B"/>
    <w:rsid w:val="0046391C"/>
    <w:rsid w:val="00480062"/>
    <w:rsid w:val="004908EE"/>
    <w:rsid w:val="004A7CFA"/>
    <w:rsid w:val="004B2E2C"/>
    <w:rsid w:val="0051273A"/>
    <w:rsid w:val="005207EE"/>
    <w:rsid w:val="0056633F"/>
    <w:rsid w:val="00587586"/>
    <w:rsid w:val="00592F86"/>
    <w:rsid w:val="005A4A02"/>
    <w:rsid w:val="005C2D7B"/>
    <w:rsid w:val="005D1E3A"/>
    <w:rsid w:val="006617E9"/>
    <w:rsid w:val="00686946"/>
    <w:rsid w:val="00686EF1"/>
    <w:rsid w:val="006C632B"/>
    <w:rsid w:val="006D438D"/>
    <w:rsid w:val="007328C6"/>
    <w:rsid w:val="00747876"/>
    <w:rsid w:val="00765F6D"/>
    <w:rsid w:val="00766AC6"/>
    <w:rsid w:val="007723FC"/>
    <w:rsid w:val="00792778"/>
    <w:rsid w:val="007A7AC3"/>
    <w:rsid w:val="007D14A8"/>
    <w:rsid w:val="00810009"/>
    <w:rsid w:val="0082686F"/>
    <w:rsid w:val="00840712"/>
    <w:rsid w:val="0085320C"/>
    <w:rsid w:val="00886BF1"/>
    <w:rsid w:val="008962FE"/>
    <w:rsid w:val="008A6ADC"/>
    <w:rsid w:val="008D4CE2"/>
    <w:rsid w:val="009256BA"/>
    <w:rsid w:val="00927500"/>
    <w:rsid w:val="009279F5"/>
    <w:rsid w:val="009D0D81"/>
    <w:rsid w:val="009D59F5"/>
    <w:rsid w:val="00A32FBD"/>
    <w:rsid w:val="00A35D10"/>
    <w:rsid w:val="00A70F2A"/>
    <w:rsid w:val="00AC6BEA"/>
    <w:rsid w:val="00B65243"/>
    <w:rsid w:val="00BA0302"/>
    <w:rsid w:val="00BA40A1"/>
    <w:rsid w:val="00BA61C9"/>
    <w:rsid w:val="00BC6A99"/>
    <w:rsid w:val="00C22AAD"/>
    <w:rsid w:val="00CC7968"/>
    <w:rsid w:val="00CE361A"/>
    <w:rsid w:val="00CE6EC1"/>
    <w:rsid w:val="00D1253F"/>
    <w:rsid w:val="00D23AA0"/>
    <w:rsid w:val="00D24625"/>
    <w:rsid w:val="00D50370"/>
    <w:rsid w:val="00D97D62"/>
    <w:rsid w:val="00DC3872"/>
    <w:rsid w:val="00DC6798"/>
    <w:rsid w:val="00E2047A"/>
    <w:rsid w:val="00E308F1"/>
    <w:rsid w:val="00E53DF8"/>
    <w:rsid w:val="00E6341E"/>
    <w:rsid w:val="00EF2FE7"/>
    <w:rsid w:val="00F120B1"/>
    <w:rsid w:val="00F201D8"/>
    <w:rsid w:val="00F72F43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CF8E8FC5-658F-483D-BB48-8DC1E98C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table" w:styleId="a4">
    <w:name w:val="Table Grid"/>
    <w:basedOn w:val="a1"/>
    <w:uiPriority w:val="39"/>
    <w:rsid w:val="000B3D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2023-11-01T05:01:00Z</cp:lastPrinted>
  <dcterms:created xsi:type="dcterms:W3CDTF">2023-09-21T04:16:00Z</dcterms:created>
  <dcterms:modified xsi:type="dcterms:W3CDTF">2023-11-01T05:01:00Z</dcterms:modified>
</cp:coreProperties>
</file>